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04A87" w14:textId="62FE4657" w:rsidR="00E036AE" w:rsidRDefault="00E036AE" w:rsidP="00E036A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4FDD65C0" wp14:editId="22EA837F">
            <wp:extent cx="1852930" cy="847725"/>
            <wp:effectExtent l="0" t="0" r="0" b="9525"/>
            <wp:docPr id="290133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133481" name="Picture 2901334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188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63EB3" w14:textId="77777777" w:rsidR="00E036AE" w:rsidRDefault="00E036AE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71C400" w14:textId="77777777" w:rsidR="00E036AE" w:rsidRDefault="00E036AE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A32B3F" w14:textId="3F90434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44379F3">
          <v:rect id="_x0000_i1025" style="width:0;height:1.5pt" o:hralign="center" o:hrstd="t" o:hr="t" fillcolor="#a0a0a0" stroked="f"/>
        </w:pict>
      </w:r>
    </w:p>
    <w:p w14:paraId="58BEFA5C" w14:textId="11E77124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ECHOLS COUNTY BOARD OF COMMISSIONERS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5D57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SUMMARY </w:t>
      </w:r>
      <w:r w:rsidRPr="00E036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WORKSHOP MEETING MINUTES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E036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February 19, 2026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E036A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6:00 PM</w:t>
      </w:r>
    </w:p>
    <w:p w14:paraId="31977988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Echols County Board of Commissioners held a Workshop Meeting on February 19, 2026, at 6:00 PM. Chairman Justin Staten called the meeting to order. The invocation and Pledge of Allegiance followed.</w:t>
      </w:r>
    </w:p>
    <w:p w14:paraId="1B1E35A5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Attendees</w:t>
      </w:r>
    </w:p>
    <w:p w14:paraId="70FCA93F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Chairman Justin Staten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  <w:t>Vice-Chairman Stanley Corbett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  <w:t>Commissioner Kenneth Petty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  <w:t>Commissioner Bobbi Pohlman Rodgers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  <w:t>Commissioner Bobby Walker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  <w:t>County Manager Alan Levesque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  <w:t>Victoria Staten</w:t>
      </w:r>
    </w:p>
    <w:p w14:paraId="27F5B978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BAA2CC1">
          <v:rect id="_x0000_i1026" style="width:0;height:1.5pt" o:hralign="center" o:hrstd="t" o:hr="t" fillcolor="#a0a0a0" stroked="f"/>
        </w:pict>
      </w:r>
    </w:p>
    <w:p w14:paraId="18D8F382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Water System</w:t>
      </w:r>
    </w:p>
    <w:p w14:paraId="56027D92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Commissioners discussed several aspects of the county water system, including critical infrastructure stabilization. The County is pursuing a $1,000,000 CDBG grant request currently in development to assist with the replacement of aging water system pipes.</w:t>
      </w:r>
    </w:p>
    <w:p w14:paraId="38981E7C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County has also been approved for a GEFA loan in the amount of $2,500,000. At this time, the loan forgiveness rate is 50%; however, during the second round, forgiveness may increase to 80–90%.</w:t>
      </w:r>
    </w:p>
    <w:p w14:paraId="3ED649B9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A83BAE8">
          <v:rect id="_x0000_i1027" style="width:0;height:1.5pt" o:hralign="center" o:hrstd="t" o:hr="t" fillcolor="#a0a0a0" stroked="f"/>
        </w:pict>
      </w:r>
    </w:p>
    <w:p w14:paraId="3DD70D68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Health Benefits Renewal</w:t>
      </w:r>
    </w:p>
    <w:p w14:paraId="7E2A2864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 xml:space="preserve">The County’s insurance renewal increased by 5.8%, compared to the current market trend of 10–20%. The impact </w:t>
      </w:r>
      <w:proofErr w:type="gramStart"/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E036AE">
        <w:rPr>
          <w:rFonts w:ascii="Times New Roman" w:eastAsia="Times New Roman" w:hAnsi="Times New Roman" w:cs="Times New Roman"/>
          <w:kern w:val="0"/>
          <w14:ligatures w14:val="none"/>
        </w:rPr>
        <w:t xml:space="preserve"> employee paychecks would be approximately $5.00 per month.</w:t>
      </w:r>
    </w:p>
    <w:p w14:paraId="325C8DD3" w14:textId="77777777" w:rsid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Current employee cost: $191.77 per month</w:t>
      </w:r>
      <w:r w:rsidRPr="00E036AE">
        <w:rPr>
          <w:rFonts w:ascii="Times New Roman" w:eastAsia="Times New Roman" w:hAnsi="Times New Roman" w:cs="Times New Roman"/>
          <w:kern w:val="0"/>
          <w14:ligatures w14:val="none"/>
        </w:rPr>
        <w:br/>
        <w:t>Renewal rate: $202.98 per month</w:t>
      </w:r>
    </w:p>
    <w:p w14:paraId="23B9971E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AA64B79">
          <v:rect id="_x0000_i1028" style="width:0;height:1.5pt" o:hralign="center" o:hrstd="t" o:hr="t" fillcolor="#a0a0a0" stroked="f"/>
        </w:pict>
      </w:r>
    </w:p>
    <w:p w14:paraId="21E72DF8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Payroll Alignment</w:t>
      </w:r>
    </w:p>
    <w:p w14:paraId="3CDB554A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Commission discussed payroll bridge alignment to synchronize payroll timing with GASB and GAAP standards. There will be no reduction in annual employee compensation.</w:t>
      </w:r>
    </w:p>
    <w:p w14:paraId="4563DBB0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 xml:space="preserve">The alignment process includes </w:t>
      </w:r>
      <w:proofErr w:type="gramStart"/>
      <w:r w:rsidRPr="00E036AE">
        <w:rPr>
          <w:rFonts w:ascii="Times New Roman" w:eastAsia="Times New Roman" w:hAnsi="Times New Roman" w:cs="Times New Roman"/>
          <w:kern w:val="0"/>
          <w14:ligatures w14:val="none"/>
        </w:rPr>
        <w:t>paying</w:t>
      </w:r>
      <w:proofErr w:type="gramEnd"/>
      <w:r w:rsidRPr="00E036AE">
        <w:rPr>
          <w:rFonts w:ascii="Times New Roman" w:eastAsia="Times New Roman" w:hAnsi="Times New Roman" w:cs="Times New Roman"/>
          <w:kern w:val="0"/>
          <w14:ligatures w14:val="none"/>
        </w:rPr>
        <w:t xml:space="preserve"> three weeks, followed by one week, and then another one-week pay period. This adjustment does not increase annual compensation but aligns payroll reporting standards.</w:t>
      </w:r>
    </w:p>
    <w:p w14:paraId="22EFC6AE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8AA17BB">
          <v:rect id="_x0000_i1029" style="width:0;height:1.5pt" o:hralign="center" o:hrstd="t" o:hr="t" fillcolor="#a0a0a0" stroked="f"/>
        </w:pict>
      </w:r>
    </w:p>
    <w:p w14:paraId="63A5CF96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EV Charging Opportunity</w:t>
      </w:r>
    </w:p>
    <w:p w14:paraId="6B19872E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County was approached regarding the installation of two EV charging stations in front of the library. The project would be 100% funded by Georgia Power and would require a 10-year installation commitment.</w:t>
      </w:r>
    </w:p>
    <w:p w14:paraId="4D63D9CF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At this time, Commissioners did not see a need to proceed due to limited parking availability in the area.</w:t>
      </w:r>
    </w:p>
    <w:p w14:paraId="0AA7BBD6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05D324F">
          <v:rect id="_x0000_i1030" style="width:0;height:1.5pt" o:hralign="center" o:hrstd="t" o:hr="t" fillcolor="#a0a0a0" stroked="f"/>
        </w:pict>
      </w:r>
    </w:p>
    <w:p w14:paraId="5FDDA7DA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MPOHV / Local Registration</w:t>
      </w:r>
    </w:p>
    <w:p w14:paraId="557D4F5A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A resident suggested that Echols County establish a local registration program to allow qualified vehicles on designated county roads. This would include a possible decal and registration system to provide safety inspections, compliance, accountability, and modest revenue for ATVs or other qualifying vehicles operating on county roads.</w:t>
      </w:r>
    </w:p>
    <w:p w14:paraId="435A24E2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25FBE37">
          <v:rect id="_x0000_i1031" style="width:0;height:1.5pt" o:hralign="center" o:hrstd="t" o:hr="t" fillcolor="#a0a0a0" stroked="f"/>
        </w:pict>
      </w:r>
    </w:p>
    <w:p w14:paraId="7445CF3C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AARP Grant – Senior Resilience</w:t>
      </w:r>
    </w:p>
    <w:p w14:paraId="352C2889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County is preparing an AARP Community Challenge-style grant initiative focused on backup generator capability and strengthening the County’s role as a cooling center during extreme heat events.</w:t>
      </w:r>
    </w:p>
    <w:p w14:paraId="7A1BCD6F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Eligible projects must benefit residents, especially those age 50 and older. There is no required county match for this grant.</w:t>
      </w:r>
    </w:p>
    <w:p w14:paraId="17A507F9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E1122B1">
          <v:rect id="_x0000_i1032" style="width:0;height:1.5pt" o:hralign="center" o:hrstd="t" o:hr="t" fillcolor="#a0a0a0" stroked="f"/>
        </w:pict>
      </w:r>
    </w:p>
    <w:p w14:paraId="312F9D9F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Historical Society Request</w:t>
      </w:r>
    </w:p>
    <w:p w14:paraId="0ABE9F27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Historical Society requested a reduction or waiver of water fees, noting they only meet once per quarter and have water service turned off during non-meeting periods.</w:t>
      </w:r>
    </w:p>
    <w:p w14:paraId="4DEC4C18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26CAA8F">
          <v:rect id="_x0000_i1033" style="width:0;height:1.5pt" o:hralign="center" o:hrstd="t" o:hr="t" fillcolor="#a0a0a0" stroked="f"/>
        </w:pict>
      </w:r>
    </w:p>
    <w:p w14:paraId="7D302602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Nuisance Law Rewrite</w:t>
      </w:r>
    </w:p>
    <w:p w14:paraId="3B2F0D25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Commission discussed rewriting the nuisance ordinance to align directly with Georgia Code Title 41. The proposed revision would:</w:t>
      </w:r>
    </w:p>
    <w:p w14:paraId="17180602" w14:textId="77777777" w:rsidR="00E036AE" w:rsidRPr="00E036AE" w:rsidRDefault="00E036AE" w:rsidP="00E036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Establish clear nuisance definitions</w:t>
      </w:r>
    </w:p>
    <w:p w14:paraId="0FAB2BBC" w14:textId="77777777" w:rsidR="00E036AE" w:rsidRPr="00E036AE" w:rsidRDefault="00E036AE" w:rsidP="00E036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Create an enforceable abatement process</w:t>
      </w:r>
    </w:p>
    <w:p w14:paraId="34B976D5" w14:textId="77777777" w:rsidR="00E036AE" w:rsidRPr="00E036AE" w:rsidRDefault="00E036AE" w:rsidP="00E036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Strengthen junk-vehicle authority</w:t>
      </w:r>
    </w:p>
    <w:p w14:paraId="4A10914F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This item will be placed on the agenda for a vote at the next Commissioners meeting scheduled for March 5, 2026.</w:t>
      </w:r>
    </w:p>
    <w:p w14:paraId="78A36BEC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DD7E3A6">
          <v:rect id="_x0000_i1034" style="width:0;height:1.5pt" o:hralign="center" o:hrstd="t" o:hr="t" fillcolor="#a0a0a0" stroked="f"/>
        </w:pict>
      </w:r>
    </w:p>
    <w:p w14:paraId="30702FFA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RV Ordinance Framework</w:t>
      </w:r>
    </w:p>
    <w:p w14:paraId="5AED4B62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proposed ordinance will address health and housing standards related to unsafe long-term RV habitation. It will:</w:t>
      </w:r>
    </w:p>
    <w:p w14:paraId="5C71C5F7" w14:textId="77777777" w:rsidR="00E036AE" w:rsidRPr="00E036AE" w:rsidRDefault="00E036AE" w:rsidP="00E036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Allow temporary RV use during construction</w:t>
      </w:r>
    </w:p>
    <w:p w14:paraId="13C48CFE" w14:textId="77777777" w:rsidR="00E036AE" w:rsidRPr="00E036AE" w:rsidRDefault="00E036AE" w:rsidP="00E036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Protect lawful farm-labor housing</w:t>
      </w:r>
    </w:p>
    <w:p w14:paraId="7661B434" w14:textId="77777777" w:rsidR="00E036AE" w:rsidRPr="00E036AE" w:rsidRDefault="00E036AE" w:rsidP="00E036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Establish enforceable sanitation standards</w:t>
      </w:r>
    </w:p>
    <w:p w14:paraId="1D4B171E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E453DE3">
          <v:rect id="_x0000_i1035" style="width:0;height:1.5pt" o:hralign="center" o:hrstd="t" o:hr="t" fillcolor="#a0a0a0" stroked="f"/>
        </w:pict>
      </w:r>
    </w:p>
    <w:p w14:paraId="64C2A6D9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Code Enforcement Direction</w:t>
      </w:r>
    </w:p>
    <w:p w14:paraId="1A87C194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The Commission discussed strengthening code enforcement efforts to protect community health and property. This would include:</w:t>
      </w:r>
    </w:p>
    <w:p w14:paraId="651A1013" w14:textId="77777777" w:rsidR="00E036AE" w:rsidRPr="00E036AE" w:rsidRDefault="00E036AE" w:rsidP="00E036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Enforcing county permitting requirements</w:t>
      </w:r>
    </w:p>
    <w:p w14:paraId="33E7836B" w14:textId="77777777" w:rsidR="00E036AE" w:rsidRPr="00E036AE" w:rsidRDefault="00E036AE" w:rsidP="00E036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 xml:space="preserve">Addressing </w:t>
      </w:r>
      <w:proofErr w:type="gramStart"/>
      <w:r w:rsidRPr="00E036AE">
        <w:rPr>
          <w:rFonts w:ascii="Times New Roman" w:eastAsia="Times New Roman" w:hAnsi="Times New Roman" w:cs="Times New Roman"/>
          <w:kern w:val="0"/>
          <w14:ligatures w14:val="none"/>
        </w:rPr>
        <w:t>blight</w:t>
      </w:r>
      <w:proofErr w:type="gramEnd"/>
      <w:r w:rsidRPr="00E036AE">
        <w:rPr>
          <w:rFonts w:ascii="Times New Roman" w:eastAsia="Times New Roman" w:hAnsi="Times New Roman" w:cs="Times New Roman"/>
          <w:kern w:val="0"/>
          <w14:ligatures w14:val="none"/>
        </w:rPr>
        <w:t xml:space="preserve"> and unsafe structures</w:t>
      </w:r>
    </w:p>
    <w:p w14:paraId="53A96388" w14:textId="77777777" w:rsidR="00E036AE" w:rsidRPr="00E036AE" w:rsidRDefault="00E036AE" w:rsidP="00E036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Responding to sanitation and nuisance hazards</w:t>
      </w:r>
    </w:p>
    <w:p w14:paraId="245C3312" w14:textId="77777777" w:rsidR="00E036AE" w:rsidRPr="00E036AE" w:rsidRDefault="00E036AE" w:rsidP="00E036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Ensuring consistent, court-defensible enforcement</w:t>
      </w:r>
    </w:p>
    <w:p w14:paraId="00200B24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163D435">
          <v:rect id="_x0000_i1036" style="width:0;height:1.5pt" o:hralign="center" o:hrstd="t" o:hr="t" fillcolor="#a0a0a0" stroked="f"/>
        </w:pict>
      </w:r>
    </w:p>
    <w:p w14:paraId="68581022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Zoning Alignment</w:t>
      </w:r>
    </w:p>
    <w:p w14:paraId="156FE111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Commission discussed zoning alignment to promote orderly growth and land-use stability. The goals include:</w:t>
      </w:r>
    </w:p>
    <w:p w14:paraId="0019FC95" w14:textId="754DC251" w:rsidR="00E036AE" w:rsidRPr="00E036AE" w:rsidRDefault="00E036AE" w:rsidP="00E0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Aligning zones with infrastructure capacity</w:t>
      </w:r>
    </w:p>
    <w:p w14:paraId="7FFB8477" w14:textId="77777777" w:rsidR="00E036AE" w:rsidRPr="00E036AE" w:rsidRDefault="00E036AE" w:rsidP="00E0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Preventing incompatible land-use conflicts</w:t>
      </w:r>
    </w:p>
    <w:p w14:paraId="6F15CD1A" w14:textId="77777777" w:rsidR="00E036AE" w:rsidRPr="00E036AE" w:rsidRDefault="00E036AE" w:rsidP="00E0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Protecting property rights and community character</w:t>
      </w:r>
    </w:p>
    <w:p w14:paraId="326A6072" w14:textId="77777777" w:rsidR="00E036AE" w:rsidRPr="00E036AE" w:rsidRDefault="00E036AE" w:rsidP="00E036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Guiding long-term county development</w:t>
      </w:r>
    </w:p>
    <w:p w14:paraId="3602D4F3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DD0A535">
          <v:rect id="_x0000_i1037" style="width:0;height:1.5pt" o:hralign="center" o:hrstd="t" o:hr="t" fillcolor="#a0a0a0" stroked="f"/>
        </w:pict>
      </w:r>
    </w:p>
    <w:p w14:paraId="25B03875" w14:textId="77777777" w:rsidR="00E036AE" w:rsidRPr="00E036AE" w:rsidRDefault="00E036AE" w:rsidP="00E036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036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Adjournment</w:t>
      </w:r>
    </w:p>
    <w:p w14:paraId="7472B399" w14:textId="77777777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036AE">
        <w:rPr>
          <w:rFonts w:ascii="Times New Roman" w:eastAsia="Times New Roman" w:hAnsi="Times New Roman" w:cs="Times New Roman"/>
          <w:kern w:val="0"/>
          <w14:ligatures w14:val="none"/>
        </w:rPr>
        <w:t>At 7:30 PM, Chairman Justin Staten requested a motion to close the workshop. Vice-Chairman Stanley Corbett made the motion. Commissioner Bobbi Pohlman Rodgers seconded. Motion carried 5/0.</w:t>
      </w:r>
    </w:p>
    <w:p w14:paraId="6F60DF47" w14:textId="77777777" w:rsidR="00E036AE" w:rsidRPr="00E036AE" w:rsidRDefault="006872E3" w:rsidP="00E036A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85EC5B0">
          <v:rect id="_x0000_i1038" style="width:0;height:1.5pt" o:hralign="center" o:hrstd="t" o:hr="t" fillcolor="#a0a0a0" stroked="f"/>
        </w:pict>
      </w:r>
    </w:p>
    <w:p w14:paraId="10EA6375" w14:textId="76EC2686" w:rsidR="00E036AE" w:rsidRPr="00E036AE" w:rsidRDefault="00E036AE" w:rsidP="00E036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E54539" w14:textId="77777777" w:rsidR="00E036AE" w:rsidRDefault="00E036AE"/>
    <w:sectPr w:rsidR="00E03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F07BE"/>
    <w:multiLevelType w:val="multilevel"/>
    <w:tmpl w:val="4456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81492"/>
    <w:multiLevelType w:val="multilevel"/>
    <w:tmpl w:val="B042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0D11E3"/>
    <w:multiLevelType w:val="multilevel"/>
    <w:tmpl w:val="EFDA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0A49DC"/>
    <w:multiLevelType w:val="multilevel"/>
    <w:tmpl w:val="795C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612528">
    <w:abstractNumId w:val="2"/>
  </w:num>
  <w:num w:numId="2" w16cid:durableId="756711290">
    <w:abstractNumId w:val="0"/>
  </w:num>
  <w:num w:numId="3" w16cid:durableId="147211698">
    <w:abstractNumId w:val="1"/>
  </w:num>
  <w:num w:numId="4" w16cid:durableId="128137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AE"/>
    <w:rsid w:val="004C3A44"/>
    <w:rsid w:val="005D57B8"/>
    <w:rsid w:val="00603B84"/>
    <w:rsid w:val="00E0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1400"/>
  <w15:chartTrackingRefBased/>
  <w15:docId w15:val="{CD57EFE4-CFB1-4941-BDB3-5C165FE1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6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6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6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6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6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6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6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6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6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6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Shonna Carter</dc:creator>
  <cp:keywords/>
  <dc:description/>
  <cp:lastModifiedBy>Shonna Carter</cp:lastModifiedBy>
  <cp:revision>2</cp:revision>
  <cp:lastPrinted>2026-02-23T17:13:00Z</cp:lastPrinted>
  <dcterms:created xsi:type="dcterms:W3CDTF">2026-02-23T17:06:00Z</dcterms:created>
  <dcterms:modified xsi:type="dcterms:W3CDTF">2026-10-07T14:26:00Z</dcterms:modified>
</cp:coreProperties>
</file>